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微软雅黑" w:hAnsi="微软雅黑" w:eastAsia="微软雅黑"/>
          <w:lang w:eastAsia="zh-CN"/>
        </w:rPr>
      </w:pPr>
      <w:bookmarkStart w:id="0" w:name="_GoBack"/>
      <w:bookmarkEnd w:id="0"/>
      <w:r>
        <w:rPr>
          <w:rFonts w:ascii="微软雅黑" w:hAnsi="微软雅黑" w:eastAsia="微软雅黑"/>
        </w:rPr>
        <w:t>关于做好</w:t>
      </w:r>
      <w:r>
        <w:rPr>
          <w:rFonts w:hint="eastAsia" w:ascii="微软雅黑" w:hAnsi="微软雅黑" w:eastAsia="微软雅黑"/>
        </w:rPr>
        <w:t>202</w:t>
      </w:r>
      <w:r>
        <w:rPr>
          <w:rFonts w:hint="eastAsia" w:ascii="微软雅黑" w:hAnsi="微软雅黑" w:eastAsia="微软雅黑"/>
          <w:lang w:val="en-US" w:eastAsia="zh-CN"/>
        </w:rPr>
        <w:t>3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eastAsia="zh-CN"/>
        </w:rPr>
        <w:t>夏</w:t>
      </w:r>
      <w:r>
        <w:rPr>
          <w:rFonts w:ascii="微软雅黑" w:hAnsi="微软雅黑" w:eastAsia="微软雅黑"/>
        </w:rPr>
        <w:t>季防火工作</w:t>
      </w:r>
      <w:r>
        <w:rPr>
          <w:rFonts w:hint="eastAsia" w:ascii="微软雅黑" w:hAnsi="微软雅黑" w:eastAsia="微软雅黑"/>
          <w:lang w:eastAsia="zh-CN"/>
        </w:rPr>
        <w:t>及装修改造工程项目</w:t>
      </w:r>
    </w:p>
    <w:p>
      <w:pPr>
        <w:pStyle w:val="2"/>
        <w:spacing w:line="360" w:lineRule="auto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消防设施变更报备</w:t>
      </w:r>
      <w:r>
        <w:rPr>
          <w:rFonts w:ascii="微软雅黑" w:hAnsi="微软雅黑" w:eastAsia="微软雅黑"/>
        </w:rPr>
        <w:t>的通知</w:t>
      </w:r>
    </w:p>
    <w:p>
      <w:pPr>
        <w:spacing w:after="0"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各学院、处、室：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after="0"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为全面落实</w:t>
      </w:r>
      <w:r>
        <w:rPr>
          <w:rFonts w:hint="eastAsia" w:ascii="仿宋" w:hAnsi="仿宋" w:eastAsia="仿宋"/>
          <w:sz w:val="28"/>
          <w:szCs w:val="28"/>
          <w:lang w:eastAsia="zh-CN"/>
        </w:rPr>
        <w:t>聊城大学夏季防火</w:t>
      </w:r>
      <w:r>
        <w:rPr>
          <w:rFonts w:hint="eastAsia" w:ascii="仿宋" w:hAnsi="仿宋" w:eastAsia="仿宋"/>
          <w:sz w:val="28"/>
          <w:szCs w:val="28"/>
        </w:rPr>
        <w:t>要求，</w:t>
      </w:r>
      <w:r>
        <w:rPr>
          <w:rFonts w:hint="eastAsia" w:ascii="仿宋" w:hAnsi="仿宋" w:eastAsia="仿宋"/>
          <w:sz w:val="28"/>
          <w:szCs w:val="28"/>
          <w:lang w:eastAsia="zh-CN"/>
        </w:rPr>
        <w:t>有效防范化解夏季安全重大风险，坚决遏制涉校涉生消防安全事故，</w:t>
      </w:r>
      <w:r>
        <w:rPr>
          <w:rFonts w:hint="eastAsia" w:ascii="仿宋" w:hAnsi="仿宋" w:eastAsia="仿宋"/>
          <w:sz w:val="28"/>
          <w:szCs w:val="28"/>
        </w:rPr>
        <w:t>切实做好校内</w:t>
      </w:r>
      <w:r>
        <w:rPr>
          <w:rFonts w:hint="eastAsia" w:ascii="仿宋" w:hAnsi="仿宋" w:eastAsia="仿宋"/>
          <w:sz w:val="28"/>
          <w:szCs w:val="28"/>
          <w:lang w:eastAsia="zh-CN"/>
        </w:rPr>
        <w:t>暑假期间</w:t>
      </w:r>
      <w:r>
        <w:rPr>
          <w:rFonts w:hint="eastAsia" w:ascii="仿宋" w:hAnsi="仿宋" w:eastAsia="仿宋"/>
          <w:sz w:val="28"/>
          <w:szCs w:val="28"/>
        </w:rPr>
        <w:t>防火工作，保障师生员工生命和财产安全，现将我校</w:t>
      </w:r>
      <w:r>
        <w:rPr>
          <w:rFonts w:hint="eastAsia" w:ascii="仿宋" w:hAnsi="仿宋" w:eastAsia="仿宋"/>
          <w:sz w:val="28"/>
          <w:szCs w:val="28"/>
          <w:lang w:eastAsia="zh-CN"/>
        </w:rPr>
        <w:t>夏</w:t>
      </w:r>
      <w:r>
        <w:rPr>
          <w:rFonts w:hint="eastAsia" w:ascii="仿宋" w:hAnsi="仿宋" w:eastAsia="仿宋"/>
          <w:sz w:val="28"/>
          <w:szCs w:val="28"/>
        </w:rPr>
        <w:t>季安全防火工作</w:t>
      </w:r>
      <w:r>
        <w:rPr>
          <w:rFonts w:hint="eastAsia" w:ascii="仿宋" w:hAnsi="仿宋" w:eastAsia="仿宋"/>
          <w:sz w:val="28"/>
          <w:szCs w:val="28"/>
          <w:lang w:eastAsia="zh-CN"/>
        </w:rPr>
        <w:t>及装修改造工程项目报备的</w:t>
      </w:r>
      <w:r>
        <w:rPr>
          <w:rFonts w:hint="eastAsia" w:ascii="仿宋" w:hAnsi="仿宋" w:eastAsia="仿宋"/>
          <w:sz w:val="28"/>
          <w:szCs w:val="28"/>
        </w:rPr>
        <w:t>有关事项通知如下：</w:t>
      </w:r>
    </w:p>
    <w:p>
      <w:pPr>
        <w:spacing w:after="0" w:line="360" w:lineRule="auto"/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强化政治担当，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加强组织领导</w:t>
      </w:r>
    </w:p>
    <w:p>
      <w:pPr>
        <w:spacing w:after="0"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夏</w:t>
      </w:r>
      <w:r>
        <w:rPr>
          <w:rFonts w:hint="eastAsia" w:ascii="仿宋" w:hAnsi="仿宋" w:eastAsia="仿宋"/>
          <w:sz w:val="28"/>
          <w:szCs w:val="28"/>
        </w:rPr>
        <w:t>季是发生火灾的高发季，夜间是火灾高发时段，电气问题是引发火灾的主要原因，各单位要充分认识消防安全工作的极端重要性，保持清醒头脑，克服侥幸心理，紧绷消防安全这根弦</w:t>
      </w:r>
      <w:r>
        <w:rPr>
          <w:rFonts w:hint="eastAsia" w:ascii="仿宋" w:hAnsi="仿宋" w:eastAsia="仿宋"/>
          <w:sz w:val="28"/>
          <w:szCs w:val="28"/>
          <w:lang w:eastAsia="zh-CN"/>
        </w:rPr>
        <w:t>，进一步</w:t>
      </w:r>
      <w:r>
        <w:rPr>
          <w:rFonts w:hint="eastAsia" w:ascii="仿宋" w:hAnsi="仿宋" w:eastAsia="仿宋"/>
          <w:sz w:val="28"/>
          <w:szCs w:val="28"/>
        </w:rPr>
        <w:t>加强消防安全工作组织领导，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严格值班值守制度，落实消防安全管理主体责任。</w:t>
      </w:r>
      <w:r>
        <w:rPr>
          <w:rFonts w:hint="eastAsia" w:ascii="仿宋" w:hAnsi="仿宋" w:eastAsia="仿宋"/>
          <w:sz w:val="28"/>
          <w:szCs w:val="28"/>
          <w:lang w:eastAsia="zh-CN"/>
        </w:rPr>
        <w:t>各单位要在假期前进行一次全面隐患排查，假期间加强巡查，安全责任人要带头深入一线督促检查，推动消防安全管理措施落实落地，形成自查台账。</w:t>
      </w:r>
    </w:p>
    <w:p>
      <w:pPr>
        <w:spacing w:after="0" w:line="360" w:lineRule="auto"/>
        <w:ind w:firstLine="592" w:firstLineChars="200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二、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eastAsia="zh-CN"/>
        </w:rPr>
        <w:t>强化安全意识，聚焦突出问题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 w:bidi="ar"/>
        </w:rPr>
        <w:t>各单位要迅速开展消防安全专项整治，要全力做好火源、危险源排查管控工作。对所有可能的火源、危险源要逐一排查，落实好管控措施（不起火措施，起火后能控制的措施）。对所辖重点部位，如图书馆、实验室、宿舍、餐厅、超市、出租商铺等进行拉网式排查，既查消防设施，也查管理责任、管理制度、疏散应急措施尤其是校园建设处、后勤管理服务中心、高新技术产业总公司等相关监管单位对入校施工的更要从严监管。后勤管理服务中心、高新技术产业总公司等单位对出租商铺要逐一巡查，记录检查时间、问题、整改措施及时限、处罚措施等，做到检查不留死角，整改不留后患。</w:t>
      </w:r>
    </w:p>
    <w:p>
      <w:pPr>
        <w:spacing w:after="0" w:line="360" w:lineRule="auto"/>
        <w:ind w:firstLine="592" w:firstLineChars="200"/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三、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eastAsia="zh-CN"/>
        </w:rPr>
        <w:t>强化施工管理，严格落实装修工程报备制度</w:t>
      </w:r>
    </w:p>
    <w:p>
      <w:pPr>
        <w:spacing w:after="0"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 w:bidi="ar"/>
        </w:rPr>
        <w:t>假期是装修装饰改造工程施工高峰期，各单位要细化改造施工措施，施工工程中要保护好原消防设施，对消防设施进行改造的要确保改造后的正常运行，造成消防设施破坏的将追究相关单位责任。要聚焦易燃可燃装饰装修、保温材料和占堵生命通道、违规动火动焊作业、冒险施工等突出风险，以及小施工引起大事故等突出问题，逐一过“筛子”。计划进行装饰装修改造工程的各单位要严格落实《聊城大学消防安全管理办法》关于改扩建工程的相关报备制度要求，做好事前报备工作，并填写由所在单位负责人签字的备案表。</w:t>
      </w:r>
    </w:p>
    <w:p>
      <w:pPr>
        <w:spacing w:after="0"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 w:bidi="ar"/>
        </w:rPr>
        <w:t>附表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 w:bidi="ar"/>
        </w:rPr>
        <w:instrText xml:space="preserve"> HYPERLINK "mailto:电子版发送至qinzhengliang@lcu.edu.cn" </w:instrTex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 w:bidi="ar"/>
        </w:rPr>
        <w:fldChar w:fldCharType="separate"/>
      </w:r>
      <w:r>
        <w:rPr>
          <w:rStyle w:val="8"/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 w:bidi="ar"/>
        </w:rPr>
        <w:t>电子版发送至</w:t>
      </w:r>
      <w:r>
        <w:rPr>
          <w:rStyle w:val="8"/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 w:bidi="ar"/>
        </w:rPr>
        <w:t>qinzhengliang@lcu.edu.cn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eastAsia="zh-CN" w:bidi="ar"/>
        </w:rPr>
        <w:fldChar w:fldCharType="end"/>
      </w:r>
    </w:p>
    <w:p>
      <w:pPr>
        <w:spacing w:after="0" w:line="360" w:lineRule="auto"/>
        <w:ind w:firstLine="560" w:firstLineChars="200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纸质版报送至消防安全工作领导小组办公室（西校区科学会堂西头二楼）</w:t>
      </w:r>
    </w:p>
    <w:p>
      <w:pPr>
        <w:spacing w:after="0" w:line="360" w:lineRule="auto"/>
        <w:rPr>
          <w:rFonts w:hint="eastAsia" w:ascii="仿宋" w:hAnsi="仿宋" w:eastAsia="仿宋"/>
          <w:sz w:val="21"/>
          <w:szCs w:val="21"/>
        </w:rPr>
      </w:pPr>
    </w:p>
    <w:p>
      <w:pPr>
        <w:spacing w:after="0" w:line="36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附件：</w:t>
      </w:r>
    </w:p>
    <w:p>
      <w:pPr>
        <w:spacing w:after="0" w:line="360" w:lineRule="auto"/>
        <w:ind w:firstLine="420" w:firstLineChars="2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/>
          <w:sz w:val="21"/>
          <w:szCs w:val="21"/>
        </w:rPr>
        <w:t>.《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聊城大学新建、改建、扩建和装饰装修工程消防备案表》</w:t>
      </w:r>
    </w:p>
    <w:p>
      <w:pPr>
        <w:spacing w:after="0" w:line="360" w:lineRule="auto"/>
        <w:ind w:firstLine="420" w:firstLineChars="20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/>
          <w:sz w:val="21"/>
          <w:szCs w:val="21"/>
        </w:rPr>
        <w:t>《单位火灾隐患自查自纠整改台账》</w:t>
      </w:r>
    </w:p>
    <w:p>
      <w:pPr>
        <w:spacing w:after="0" w:line="360" w:lineRule="auto"/>
        <w:rPr>
          <w:rFonts w:hint="eastAsia" w:ascii="仿宋" w:hAnsi="仿宋" w:eastAsia="仿宋"/>
          <w:sz w:val="21"/>
          <w:szCs w:val="21"/>
        </w:rPr>
      </w:pPr>
    </w:p>
    <w:p>
      <w:pPr>
        <w:spacing w:after="0" w:line="360" w:lineRule="auto"/>
        <w:rPr>
          <w:rFonts w:ascii="仿宋" w:hAnsi="仿宋" w:eastAsia="仿宋"/>
          <w:sz w:val="21"/>
          <w:szCs w:val="21"/>
        </w:rPr>
      </w:pPr>
    </w:p>
    <w:p>
      <w:pPr>
        <w:spacing w:after="0" w:line="360" w:lineRule="auto"/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安全保卫处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360" w:lineRule="auto"/>
        <w:jc w:val="both"/>
        <w:rPr>
          <w:rFonts w:ascii="黑体" w:hAnsi="黑体" w:eastAsia="黑体" w:cs="黑体"/>
          <w:sz w:val="30"/>
          <w:szCs w:val="30"/>
        </w:rPr>
      </w:pPr>
    </w:p>
    <w:p>
      <w:pPr>
        <w:spacing w:line="360" w:lineRule="auto"/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lang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1.</w:t>
      </w:r>
    </w:p>
    <w:tbl>
      <w:tblPr>
        <w:tblStyle w:val="4"/>
        <w:tblpPr w:leftFromText="180" w:rightFromText="180" w:vertAnchor="text" w:horzAnchor="page" w:tblpX="1965" w:tblpY="342"/>
        <w:tblOverlap w:val="never"/>
        <w:tblW w:w="8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6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聊城大学新建、改建、扩建和装饰装修工程消防备案表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施工地点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施工时间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是否与原消防设施如消防管道、喷淋、烟感控制、防火门、消防栓等产生交叉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施工动火情况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施工用电安全措施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施工现场易燃易爆物品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施工现场消防器材配备情况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报备单位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报备时间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单位负责人签字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 w:cs="黑体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sz w:val="30"/>
          <w:szCs w:val="30"/>
        </w:rPr>
      </w:pPr>
    </w:p>
    <w:p>
      <w:pPr>
        <w:spacing w:line="360" w:lineRule="auto"/>
        <w:jc w:val="left"/>
        <w:rPr>
          <w:rFonts w:ascii="黑体" w:hAnsi="黑体" w:eastAsia="黑体" w:cs="黑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 w:eastAsia="宋体"/>
          <w:lang w:val="en-US" w:eastAsia="zh-CN"/>
        </w:rPr>
        <w:t>2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火灾隐患自查自纠整改台账</w:t>
      </w:r>
    </w:p>
    <w:p>
      <w:pPr>
        <w:spacing w:line="360" w:lineRule="auto"/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单位：                    单位负责人：                          检查时间：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75"/>
        <w:gridCol w:w="3459"/>
        <w:gridCol w:w="3463"/>
        <w:gridCol w:w="1512"/>
        <w:gridCol w:w="1363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0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34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隐患内容</w:t>
            </w:r>
          </w:p>
        </w:tc>
        <w:tc>
          <w:tcPr>
            <w:tcW w:w="34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整改措施</w:t>
            </w: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整改时间</w:t>
            </w:r>
          </w:p>
        </w:tc>
        <w:tc>
          <w:tcPr>
            <w:tcW w:w="13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检查人</w:t>
            </w:r>
          </w:p>
        </w:tc>
        <w:tc>
          <w:tcPr>
            <w:tcW w:w="12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0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0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0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0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0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906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...</w:t>
            </w: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9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单位消防联络员：                                                联系电话：</w:t>
      </w:r>
    </w:p>
    <w:p>
      <w:pPr>
        <w:spacing w:line="360" w:lineRule="auto"/>
        <w:ind w:firstLine="420" w:firstLineChars="2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注：本表格一式二份，一份单位存档，一份安全保卫处存档，可根据实际检查情况自行更改宽高度和字体。</w:t>
      </w:r>
    </w:p>
    <w:p>
      <w:pPr>
        <w:spacing w:line="360" w:lineRule="auto"/>
        <w:ind w:firstLine="422" w:firstLineChars="20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该表格要求每月检查一次</w:t>
      </w:r>
      <w:r>
        <w:rPr>
          <w:rFonts w:hint="eastAsia" w:ascii="仿宋" w:hAnsi="仿宋" w:eastAsia="仿宋"/>
          <w:b/>
          <w:bCs/>
          <w:sz w:val="21"/>
          <w:szCs w:val="21"/>
          <w:lang w:val="en-US" w:eastAsia="zh-CN"/>
        </w:rPr>
        <w:t>,</w:t>
      </w:r>
      <w:r>
        <w:rPr>
          <w:rFonts w:hint="eastAsia" w:ascii="仿宋" w:hAnsi="仿宋" w:eastAsia="仿宋"/>
          <w:b/>
          <w:bCs/>
          <w:sz w:val="21"/>
          <w:szCs w:val="21"/>
        </w:rPr>
        <w:t>并于每月25日提交</w:t>
      </w:r>
      <w:r>
        <w:rPr>
          <w:rFonts w:hint="eastAsia" w:ascii="仿宋" w:hAnsi="仿宋" w:eastAsia="仿宋"/>
          <w:b/>
          <w:bCs/>
          <w:sz w:val="21"/>
          <w:szCs w:val="21"/>
          <w:lang w:val="en-US" w:eastAsia="zh-CN"/>
        </w:rPr>
        <w:t>,</w:t>
      </w:r>
      <w:r>
        <w:rPr>
          <w:rFonts w:hint="eastAsia" w:ascii="仿宋" w:hAnsi="仿宋" w:eastAsia="仿宋"/>
          <w:b/>
          <w:bCs/>
          <w:sz w:val="21"/>
          <w:szCs w:val="21"/>
        </w:rPr>
        <w:t>电子版发</w:t>
      </w:r>
      <w:r>
        <w:rPr>
          <w:rFonts w:hint="eastAsia" w:ascii="仿宋" w:hAnsi="仿宋" w:eastAsia="仿宋"/>
          <w:b/>
          <w:bCs/>
          <w:sz w:val="21"/>
          <w:szCs w:val="21"/>
          <w:lang w:val="en-US" w:eastAsia="zh-CN"/>
        </w:rPr>
        <w:t>qinzhengliang</w:t>
      </w:r>
      <w:r>
        <w:rPr>
          <w:rFonts w:hint="eastAsia" w:ascii="仿宋" w:hAnsi="仿宋" w:eastAsia="仿宋"/>
          <w:b/>
          <w:bCs/>
          <w:sz w:val="21"/>
          <w:szCs w:val="21"/>
        </w:rPr>
        <w:t>@lcu.edu.cn，纸质版交</w:t>
      </w:r>
      <w:r>
        <w:rPr>
          <w:rFonts w:hint="eastAsia" w:ascii="仿宋" w:hAnsi="仿宋" w:eastAsia="仿宋"/>
          <w:b/>
          <w:bCs/>
          <w:sz w:val="21"/>
          <w:szCs w:val="21"/>
          <w:lang w:eastAsia="zh-CN"/>
        </w:rPr>
        <w:t>消防管理中心（西校区科学会堂西头二楼）</w:t>
      </w:r>
      <w:r>
        <w:rPr>
          <w:rFonts w:hint="eastAsia" w:ascii="仿宋" w:hAnsi="仿宋" w:eastAsia="仿宋"/>
          <w:b/>
          <w:bCs/>
          <w:sz w:val="21"/>
          <w:szCs w:val="21"/>
        </w:rPr>
        <w:t>。</w:t>
      </w:r>
    </w:p>
    <w:sectPr>
      <w:footerReference r:id="rId5" w:type="default"/>
      <w:pgSz w:w="16838" w:h="11906" w:orient="landscape"/>
      <w:pgMar w:top="1803" w:right="1440" w:bottom="1746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ZjIyMDc3Yjk5NTVlNGJjMjRkYzY2YjhiY2VjYjAifQ=="/>
  </w:docVars>
  <w:rsids>
    <w:rsidRoot w:val="5FE942BC"/>
    <w:rsid w:val="092263E9"/>
    <w:rsid w:val="09CA1519"/>
    <w:rsid w:val="0D592316"/>
    <w:rsid w:val="1A8E6FF6"/>
    <w:rsid w:val="2C464635"/>
    <w:rsid w:val="2C7313EE"/>
    <w:rsid w:val="577A38AA"/>
    <w:rsid w:val="5FE942BC"/>
    <w:rsid w:val="64FF0E58"/>
    <w:rsid w:val="65752C9E"/>
    <w:rsid w:val="76415543"/>
    <w:rsid w:val="7FF6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1284</Words>
  <Characters>1343</Characters>
  <Lines>0</Lines>
  <Paragraphs>0</Paragraphs>
  <TotalTime>2</TotalTime>
  <ScaleCrop>false</ScaleCrop>
  <LinksUpToDate>false</LinksUpToDate>
  <CharactersWithSpaces>1488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2023-06-30T01:57:00Z</dcterms:created>
  <dc:creator>秦正良</dc:creator>
  <cp:lastModifiedBy>Administrator</cp:lastModifiedBy>
  <dcterms:modified xsi:type="dcterms:W3CDTF">2023-07-01T00:33:13Z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48E78CD263814B1F9CAAEC57A73D6B48_13</vt:lpwstr>
  </property>
</Properties>
</file>